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r>
        <w:rPr>
          <w:sz w:val="20"/>
          <w:lang w:val="en-US"/>
        </w:rPr>
        <w:pict>
          <v:shape id="_x0000_s1026" o:spid="_x0000_s1026" o:spt="158" type="#_x0000_t158" style="position:absolute;left:0pt;margin-left:150pt;margin-top:2.5pt;height:51.7pt;width:218.25pt;z-index:251658240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Indices Values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/>
    <w:p/>
    <w:p/>
    <w:p/>
    <w:p/>
    <w:tbl>
      <w:tblPr>
        <w:tblStyle w:val="4"/>
        <w:tblW w:w="4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08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10</w:t>
            </w:r>
            <w:r>
              <w:rPr>
                <w:b/>
                <w:bCs/>
                <w:sz w:val="32"/>
                <w:vertAlign w:val="superscript"/>
              </w:rPr>
              <w:t>n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pStyle w:val="2"/>
              <w:rPr>
                <w:sz w:val="32"/>
              </w:rPr>
            </w:pPr>
            <w:r>
              <w:rPr>
                <w:sz w:val="32"/>
              </w:rPr>
              <w:t>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0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1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2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3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4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5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6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7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8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9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10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</w:tbl>
    <w:p/>
    <w:p/>
    <w:p/>
    <w:p/>
    <w:p/>
    <w:p>
      <w:r>
        <w:rPr>
          <w:sz w:val="20"/>
          <w:lang w:val="en-US"/>
        </w:rPr>
        <w:pict>
          <v:shape id="_x0000_s1027" o:spid="_x0000_s1027" o:spt="158" type="#_x0000_t158" style="position:absolute;left:0pt;margin-left:156pt;margin-top:12.05pt;height:51.7pt;width:218.25pt;z-index:251659264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Indices Values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/>
    <w:p/>
    <w:p/>
    <w:p/>
    <w:p/>
    <w:p/>
    <w:tbl>
      <w:tblPr>
        <w:tblStyle w:val="4"/>
        <w:tblW w:w="4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08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10</w:t>
            </w:r>
            <w:r>
              <w:rPr>
                <w:b/>
                <w:bCs/>
                <w:sz w:val="32"/>
                <w:vertAlign w:val="superscript"/>
              </w:rPr>
              <w:t>n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pStyle w:val="2"/>
              <w:rPr>
                <w:sz w:val="32"/>
              </w:rPr>
            </w:pPr>
            <w:r>
              <w:rPr>
                <w:sz w:val="32"/>
              </w:rPr>
              <w:t>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0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1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2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3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4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5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6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7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8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9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10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</w:tbl>
    <w:p>
      <w:pPr>
        <w:rPr>
          <w:sz w:val="32"/>
        </w:rPr>
      </w:pPr>
    </w:p>
    <w:p/>
    <w:p/>
    <w:p/>
    <w:p/>
    <w:p/>
    <w:p/>
    <w:p/>
    <w:tbl>
      <w:tblPr>
        <w:tblStyle w:val="4"/>
        <w:tblW w:w="4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08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10</w:t>
            </w:r>
            <w:r>
              <w:rPr>
                <w:b/>
                <w:bCs/>
                <w:sz w:val="32"/>
                <w:vertAlign w:val="superscript"/>
              </w:rPr>
              <w:t>n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pStyle w:val="2"/>
              <w:rPr>
                <w:sz w:val="32"/>
              </w:rPr>
            </w:pPr>
            <w:r>
              <w:rPr>
                <w:sz w:val="32"/>
              </w:rPr>
              <w:t>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-1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-2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-3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-4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-5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-6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-7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-8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-9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-10</w:t>
            </w:r>
          </w:p>
        </w:tc>
        <w:tc>
          <w:tcPr>
            <w:tcW w:w="34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</w:tbl>
    <w:p/>
    <w:p/>
    <w:p/>
    <w:p/>
    <w:p/>
    <w:p/>
    <w:p/>
    <w:p/>
    <w:p/>
    <w:p/>
    <w:p/>
    <w:p/>
    <w:p/>
    <w:tbl>
      <w:tblPr>
        <w:tblStyle w:val="4"/>
        <w:tblW w:w="4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08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10</w:t>
            </w:r>
            <w:r>
              <w:rPr>
                <w:b/>
                <w:bCs/>
                <w:sz w:val="32"/>
                <w:vertAlign w:val="superscript"/>
              </w:rPr>
              <w:t>n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pStyle w:val="2"/>
              <w:rPr>
                <w:sz w:val="32"/>
              </w:rPr>
            </w:pPr>
            <w:r>
              <w:rPr>
                <w:sz w:val="32"/>
              </w:rPr>
              <w:t>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-1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-2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-3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-4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-5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-6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-7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-8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-9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0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10</w:t>
            </w:r>
            <w:r>
              <w:rPr>
                <w:sz w:val="32"/>
                <w:vertAlign w:val="superscript"/>
              </w:rPr>
              <w:t>-10</w:t>
            </w:r>
          </w:p>
        </w:tc>
        <w:tc>
          <w:tcPr>
            <w:tcW w:w="34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</w:tbl>
    <w:p>
      <w:pPr>
        <w:rPr>
          <w:sz w:val="32"/>
        </w:rPr>
      </w:pPr>
    </w:p>
    <w:p/>
    <w:p/>
    <w:p/>
    <w:p/>
    <w:p/>
    <w:p/>
    <w:sectPr>
      <w:footnotePr>
        <w:numFmt w:val="decimal"/>
      </w:footnotePr>
      <w:type w:val="continuous"/>
      <w:pgSz w:w="11907" w:h="16840"/>
      <w:pgMar w:top="737" w:right="1531" w:bottom="794" w:left="567" w:header="720" w:footer="720" w:gutter="0"/>
      <w:cols w:space="720" w:num="2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938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b/>
      <w:bCs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55</Words>
  <Characters>314</Characters>
  <Lines>2</Lines>
  <Paragraphs>1</Paragraphs>
  <TotalTime>0</TotalTime>
  <ScaleCrop>false</ScaleCrop>
  <LinksUpToDate>false</LinksUpToDate>
  <CharactersWithSpaces>385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2000-11-20T22:43:00Z</dcterms:created>
  <dc:creator>Deborah Nunn</dc:creator>
  <cp:lastModifiedBy>mathssite.com</cp:lastModifiedBy>
  <cp:lastPrinted>2000-11-20T22:54:00Z</cp:lastPrinted>
  <dcterms:modified xsi:type="dcterms:W3CDTF">2019-04-16T18:16:05Z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